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FA" w:rsidRDefault="00E526FA" w:rsidP="00E526FA">
      <w:pPr>
        <w:spacing w:after="0" w:line="240" w:lineRule="auto"/>
        <w:jc w:val="center"/>
        <w:rPr>
          <w:rFonts w:ascii="Times New Roman" w:eastAsia="Times New Roman" w:hAnsi="Times New Roman" w:cs="Times New Roman"/>
          <w:b/>
          <w:color w:val="212529"/>
          <w:sz w:val="24"/>
          <w:szCs w:val="24"/>
          <w:lang w:eastAsia="en-IN"/>
        </w:rPr>
      </w:pPr>
      <w:r w:rsidRPr="00E526FA">
        <w:rPr>
          <w:rFonts w:ascii="Times New Roman" w:eastAsia="Times New Roman" w:hAnsi="Times New Roman" w:cs="Times New Roman"/>
          <w:color w:val="212529"/>
          <w:sz w:val="24"/>
          <w:szCs w:val="24"/>
          <w:lang w:eastAsia="en-IN"/>
        </w:rPr>
        <w:br/>
      </w:r>
      <w:r w:rsidRPr="00E526FA">
        <w:rPr>
          <w:rFonts w:ascii="Times New Roman" w:eastAsia="Times New Roman" w:hAnsi="Times New Roman" w:cs="Times New Roman"/>
          <w:b/>
          <w:color w:val="212529"/>
          <w:sz w:val="24"/>
          <w:szCs w:val="24"/>
          <w:lang w:eastAsia="en-IN"/>
        </w:rPr>
        <w:t>INDIAN ECONOMY AND INDIAN FINANCIAL SYSTEM</w:t>
      </w:r>
    </w:p>
    <w:p w:rsidR="00E526FA" w:rsidRPr="00E526FA" w:rsidRDefault="00E526FA" w:rsidP="00E526FA">
      <w:pPr>
        <w:spacing w:after="0" w:line="240" w:lineRule="auto"/>
        <w:jc w:val="center"/>
        <w:rPr>
          <w:rFonts w:ascii="Times New Roman" w:eastAsia="Times New Roman" w:hAnsi="Times New Roman" w:cs="Times New Roman"/>
          <w:b/>
          <w:color w:val="212529"/>
          <w:sz w:val="24"/>
          <w:szCs w:val="24"/>
          <w:lang w:eastAsia="en-IN"/>
        </w:rPr>
      </w:pPr>
    </w:p>
    <w:tbl>
      <w:tblPr>
        <w:tblStyle w:val="TableGrid"/>
        <w:tblW w:w="0" w:type="auto"/>
        <w:tblLook w:val="04A0" w:firstRow="1" w:lastRow="0" w:firstColumn="1" w:lastColumn="0" w:noHBand="0" w:noVBand="1"/>
      </w:tblPr>
      <w:tblGrid>
        <w:gridCol w:w="1696"/>
        <w:gridCol w:w="7320"/>
      </w:tblGrid>
      <w:tr w:rsidR="00E526FA" w:rsidRPr="00E526FA" w:rsidTr="00E526FA">
        <w:tc>
          <w:tcPr>
            <w:tcW w:w="1696" w:type="dxa"/>
          </w:tcPr>
          <w:p w:rsidR="00E526FA" w:rsidRPr="000A7168" w:rsidRDefault="00E526FA" w:rsidP="00E526FA">
            <w:pPr>
              <w:rPr>
                <w:rFonts w:ascii="Times New Roman" w:hAnsi="Times New Roman" w:cs="Times New Roman"/>
                <w:b/>
                <w:sz w:val="24"/>
                <w:szCs w:val="24"/>
              </w:rPr>
            </w:pPr>
            <w:r w:rsidRPr="000A7168">
              <w:rPr>
                <w:rFonts w:ascii="Times New Roman" w:hAnsi="Times New Roman" w:cs="Times New Roman"/>
                <w:b/>
                <w:sz w:val="24"/>
                <w:szCs w:val="24"/>
              </w:rPr>
              <w:t>Sr. No</w:t>
            </w:r>
            <w:r w:rsidRPr="000A7168">
              <w:rPr>
                <w:rFonts w:ascii="Times New Roman" w:hAnsi="Times New Roman" w:cs="Times New Roman"/>
                <w:b/>
                <w:sz w:val="24"/>
                <w:szCs w:val="24"/>
              </w:rPr>
              <w:tab/>
            </w:r>
          </w:p>
        </w:tc>
        <w:tc>
          <w:tcPr>
            <w:tcW w:w="7320" w:type="dxa"/>
          </w:tcPr>
          <w:p w:rsidR="00E526FA" w:rsidRPr="000A7168" w:rsidRDefault="00E526FA">
            <w:pPr>
              <w:rPr>
                <w:rFonts w:ascii="Times New Roman" w:hAnsi="Times New Roman" w:cs="Times New Roman"/>
                <w:b/>
                <w:sz w:val="24"/>
                <w:szCs w:val="24"/>
              </w:rPr>
            </w:pPr>
            <w:r w:rsidRPr="000A7168">
              <w:rPr>
                <w:rFonts w:ascii="Times New Roman" w:hAnsi="Times New Roman" w:cs="Times New Roman"/>
                <w:b/>
                <w:sz w:val="24"/>
                <w:szCs w:val="24"/>
              </w:rPr>
              <w:t>RBI Notifications</w:t>
            </w:r>
          </w:p>
        </w:tc>
      </w:tr>
      <w:tr w:rsidR="00E526FA" w:rsidRPr="00E526FA" w:rsidTr="00E526FA">
        <w:tc>
          <w:tcPr>
            <w:tcW w:w="1696" w:type="dxa"/>
          </w:tcPr>
          <w:p w:rsidR="00E526FA" w:rsidRPr="00E526FA" w:rsidRDefault="00E526FA">
            <w:pPr>
              <w:rPr>
                <w:rFonts w:ascii="Times New Roman" w:hAnsi="Times New Roman" w:cs="Times New Roman"/>
                <w:sz w:val="24"/>
                <w:szCs w:val="24"/>
              </w:rPr>
            </w:pPr>
            <w:r w:rsidRPr="00E526FA">
              <w:rPr>
                <w:rFonts w:ascii="Times New Roman" w:hAnsi="Times New Roman" w:cs="Times New Roman"/>
                <w:sz w:val="24"/>
                <w:szCs w:val="24"/>
              </w:rPr>
              <w:t>1</w:t>
            </w:r>
          </w:p>
        </w:tc>
        <w:tc>
          <w:tcPr>
            <w:tcW w:w="7320" w:type="dxa"/>
          </w:tcPr>
          <w:p w:rsidR="00E526FA" w:rsidRPr="00E526FA" w:rsidRDefault="00E526FA">
            <w:pPr>
              <w:rPr>
                <w:rFonts w:ascii="Times New Roman" w:hAnsi="Times New Roman" w:cs="Times New Roman"/>
                <w:sz w:val="24"/>
                <w:szCs w:val="24"/>
              </w:rPr>
            </w:pPr>
            <w:r w:rsidRPr="00E526FA">
              <w:rPr>
                <w:rFonts w:ascii="Times New Roman" w:hAnsi="Times New Roman" w:cs="Times New Roman"/>
                <w:sz w:val="24"/>
                <w:szCs w:val="24"/>
              </w:rPr>
              <w:t>Money Transfer Service Scheme - Submission of Statement on CIMS</w:t>
            </w:r>
          </w:p>
        </w:tc>
      </w:tr>
      <w:tr w:rsidR="00E526FA" w:rsidRPr="00E526FA" w:rsidTr="00E526FA">
        <w:tc>
          <w:tcPr>
            <w:tcW w:w="1696" w:type="dxa"/>
          </w:tcPr>
          <w:p w:rsidR="00E526FA" w:rsidRPr="00E526FA" w:rsidRDefault="00E526FA">
            <w:pPr>
              <w:rPr>
                <w:rFonts w:ascii="Times New Roman" w:hAnsi="Times New Roman" w:cs="Times New Roman"/>
                <w:sz w:val="24"/>
                <w:szCs w:val="24"/>
              </w:rPr>
            </w:pPr>
            <w:r w:rsidRPr="00E526FA">
              <w:rPr>
                <w:rFonts w:ascii="Times New Roman" w:hAnsi="Times New Roman" w:cs="Times New Roman"/>
                <w:sz w:val="24"/>
                <w:szCs w:val="24"/>
              </w:rPr>
              <w:t>2</w:t>
            </w:r>
          </w:p>
        </w:tc>
        <w:tc>
          <w:tcPr>
            <w:tcW w:w="7320" w:type="dxa"/>
          </w:tcPr>
          <w:p w:rsidR="00E526FA" w:rsidRPr="00E526FA" w:rsidRDefault="00E526FA">
            <w:pPr>
              <w:rPr>
                <w:rFonts w:ascii="Times New Roman" w:hAnsi="Times New Roman" w:cs="Times New Roman"/>
                <w:sz w:val="24"/>
                <w:szCs w:val="24"/>
              </w:rPr>
            </w:pPr>
            <w:r w:rsidRPr="00E526FA">
              <w:rPr>
                <w:rFonts w:ascii="Times New Roman" w:hAnsi="Times New Roman" w:cs="Times New Roman"/>
                <w:sz w:val="24"/>
                <w:szCs w:val="24"/>
              </w:rPr>
              <w:t>Investments in Alternative Investment Funds (AIFs)</w:t>
            </w:r>
          </w:p>
        </w:tc>
      </w:tr>
    </w:tbl>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pPr>
        <w:rPr>
          <w:rFonts w:ascii="Times New Roman" w:hAnsi="Times New Roman" w:cs="Times New Roman"/>
          <w:sz w:val="24"/>
          <w:szCs w:val="24"/>
        </w:rPr>
      </w:pPr>
    </w:p>
    <w:p w:rsidR="00E526FA" w:rsidRDefault="00E526FA" w:rsidP="00CD4FD4">
      <w:pPr>
        <w:pStyle w:val="head"/>
        <w:jc w:val="center"/>
        <w:rPr>
          <w:rFonts w:ascii="Arial" w:hAnsi="Arial" w:cs="Arial"/>
          <w:b/>
          <w:bCs/>
          <w:color w:val="000000"/>
          <w:sz w:val="20"/>
          <w:szCs w:val="20"/>
        </w:rPr>
      </w:pPr>
      <w:r>
        <w:rPr>
          <w:rFonts w:ascii="Arial" w:hAnsi="Arial" w:cs="Arial"/>
          <w:b/>
          <w:bCs/>
          <w:color w:val="000000"/>
          <w:sz w:val="20"/>
          <w:szCs w:val="20"/>
          <w:u w:val="single"/>
        </w:rPr>
        <w:lastRenderedPageBreak/>
        <w:t>Money Transfer Service Scheme - Submission of Statement on CIMS</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RBI/2023-24/130</w:t>
      </w:r>
      <w:r>
        <w:rPr>
          <w:rFonts w:ascii="Arial" w:hAnsi="Arial" w:cs="Arial"/>
          <w:color w:val="000000"/>
          <w:sz w:val="20"/>
          <w:szCs w:val="20"/>
        </w:rPr>
        <w:br/>
        <w:t>A.P. (DIR Series) Circular No.15</w:t>
      </w:r>
    </w:p>
    <w:p w:rsidR="00E526FA" w:rsidRDefault="00E526FA" w:rsidP="00E526FA">
      <w:pPr>
        <w:pStyle w:val="NormalWeb"/>
        <w:jc w:val="right"/>
        <w:rPr>
          <w:rFonts w:ascii="Arial" w:hAnsi="Arial" w:cs="Arial"/>
          <w:color w:val="000000"/>
          <w:sz w:val="20"/>
          <w:szCs w:val="20"/>
        </w:rPr>
      </w:pPr>
      <w:bookmarkStart w:id="0" w:name="_GoBack"/>
      <w:bookmarkEnd w:id="0"/>
      <w:r>
        <w:rPr>
          <w:rFonts w:ascii="Arial" w:hAnsi="Arial" w:cs="Arial"/>
          <w:color w:val="000000"/>
          <w:sz w:val="20"/>
          <w:szCs w:val="20"/>
        </w:rPr>
        <w:t>March 05, 2024</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To</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All Authorised Persons, who are Indian Agents under Money Transfer Service Scheme</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Madam / Sir,</w:t>
      </w:r>
    </w:p>
    <w:p w:rsidR="00E526FA" w:rsidRDefault="00E526FA" w:rsidP="00E526FA">
      <w:pPr>
        <w:pStyle w:val="head"/>
        <w:jc w:val="center"/>
        <w:rPr>
          <w:rFonts w:ascii="Arial" w:hAnsi="Arial" w:cs="Arial"/>
          <w:b/>
          <w:bCs/>
          <w:color w:val="000000"/>
          <w:sz w:val="20"/>
          <w:szCs w:val="20"/>
        </w:rPr>
      </w:pPr>
      <w:r>
        <w:rPr>
          <w:rFonts w:ascii="Arial" w:hAnsi="Arial" w:cs="Arial"/>
          <w:b/>
          <w:bCs/>
          <w:color w:val="000000"/>
          <w:sz w:val="20"/>
          <w:szCs w:val="20"/>
          <w:u w:val="single"/>
        </w:rPr>
        <w:t>Money Transfer Service Scheme - Submission of Statement on CIMS</w:t>
      </w:r>
    </w:p>
    <w:p w:rsidR="00E526FA" w:rsidRDefault="00E526FA" w:rsidP="00E526FA">
      <w:pPr>
        <w:pStyle w:val="NormalWeb"/>
        <w:jc w:val="both"/>
        <w:rPr>
          <w:rFonts w:ascii="Arial" w:hAnsi="Arial" w:cs="Arial"/>
          <w:color w:val="000000"/>
          <w:sz w:val="20"/>
          <w:szCs w:val="20"/>
        </w:rPr>
      </w:pPr>
      <w:proofErr w:type="gramStart"/>
      <w:r>
        <w:rPr>
          <w:rFonts w:ascii="Arial" w:hAnsi="Arial" w:cs="Arial"/>
          <w:color w:val="000000"/>
          <w:sz w:val="20"/>
          <w:szCs w:val="20"/>
        </w:rPr>
        <w:t>Please refer to the </w:t>
      </w:r>
      <w:hyperlink r:id="rId5" w:tgtFrame="_blank" w:history="1">
        <w:r>
          <w:rPr>
            <w:rStyle w:val="Hyperlink"/>
            <w:rFonts w:ascii="Arial" w:hAnsi="Arial" w:cs="Arial"/>
            <w:sz w:val="20"/>
            <w:szCs w:val="20"/>
          </w:rPr>
          <w:t>A.P. (DIR Series) Circular No.70 dated May 19, 2016</w:t>
        </w:r>
      </w:hyperlink>
      <w:r>
        <w:rPr>
          <w:rFonts w:ascii="Arial" w:hAnsi="Arial" w:cs="Arial"/>
          <w:color w:val="000000"/>
          <w:sz w:val="20"/>
          <w:szCs w:val="20"/>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Pr>
          <w:rFonts w:ascii="Arial" w:hAnsi="Arial" w:cs="Arial"/>
          <w:color w:val="000000"/>
          <w:sz w:val="20"/>
          <w:szCs w:val="20"/>
        </w:rPr>
        <w:t>eXtensible</w:t>
      </w:r>
      <w:proofErr w:type="spellEnd"/>
      <w:r>
        <w:rPr>
          <w:rFonts w:ascii="Arial" w:hAnsi="Arial" w:cs="Arial"/>
          <w:color w:val="000000"/>
          <w:sz w:val="20"/>
          <w:szCs w:val="20"/>
        </w:rPr>
        <w:t xml:space="preserve"> Business Reporting Language (XBRL) platform.</w:t>
      </w:r>
      <w:proofErr w:type="gramEnd"/>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2. With the launch of the Reserve Bank’s next generation data warehouse viz., the Centralised Information Management System (CIMS), it has been decided that the reporting of the aforesaid statement will be done on CIMS portal (URL: </w:t>
      </w:r>
      <w:hyperlink r:id="rId6" w:tgtFrame="_blank" w:history="1">
        <w:r>
          <w:rPr>
            <w:rStyle w:val="Hyperlink"/>
            <w:rFonts w:ascii="Arial" w:hAnsi="Arial" w:cs="Arial"/>
            <w:sz w:val="20"/>
            <w:szCs w:val="20"/>
          </w:rPr>
          <w:t>https://sankalan.rbi.org.in/</w:t>
        </w:r>
      </w:hyperlink>
      <w:r>
        <w:rPr>
          <w:rFonts w:ascii="Arial" w:hAnsi="Arial" w:cs="Arial"/>
          <w:color w:val="000000"/>
          <w:sz w:val="20"/>
          <w:szCs w:val="20"/>
        </w:rPr>
        <w:t xml:space="preserve">) with effect from the quarter-ending March 2024. The statement </w:t>
      </w:r>
      <w:proofErr w:type="gramStart"/>
      <w:r>
        <w:rPr>
          <w:rFonts w:ascii="Arial" w:hAnsi="Arial" w:cs="Arial"/>
          <w:color w:val="000000"/>
          <w:sz w:val="20"/>
          <w:szCs w:val="20"/>
        </w:rPr>
        <w:t>has been assigned</w:t>
      </w:r>
      <w:proofErr w:type="gramEnd"/>
      <w:r>
        <w:rPr>
          <w:rFonts w:ascii="Arial" w:hAnsi="Arial" w:cs="Arial"/>
          <w:color w:val="000000"/>
          <w:sz w:val="20"/>
          <w:szCs w:val="20"/>
        </w:rPr>
        <w:t xml:space="preserve"> return code - ‘R130’ on CIMS. In case no remittance </w:t>
      </w:r>
      <w:proofErr w:type="gramStart"/>
      <w:r>
        <w:rPr>
          <w:rFonts w:ascii="Arial" w:hAnsi="Arial" w:cs="Arial"/>
          <w:color w:val="000000"/>
          <w:sz w:val="20"/>
          <w:szCs w:val="20"/>
        </w:rPr>
        <w:t>was received</w:t>
      </w:r>
      <w:proofErr w:type="gramEnd"/>
      <w:r>
        <w:rPr>
          <w:rFonts w:ascii="Arial" w:hAnsi="Arial" w:cs="Arial"/>
          <w:color w:val="000000"/>
          <w:sz w:val="20"/>
          <w:szCs w:val="20"/>
        </w:rPr>
        <w:t xml:space="preserve"> during a quarter, a ‘NIL’ report shall be submitted.</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3. The </w:t>
      </w:r>
      <w:hyperlink r:id="rId7" w:tgtFrame="_blank" w:history="1">
        <w:r>
          <w:rPr>
            <w:rStyle w:val="Hyperlink"/>
            <w:rFonts w:ascii="Arial" w:hAnsi="Arial" w:cs="Arial"/>
            <w:sz w:val="20"/>
            <w:szCs w:val="20"/>
          </w:rPr>
          <w:t>Master Direction on ‘Reporting under Foreign Exchange Management Act, 1999’</w:t>
        </w:r>
      </w:hyperlink>
      <w:r>
        <w:rPr>
          <w:rFonts w:ascii="Arial" w:hAnsi="Arial" w:cs="Arial"/>
          <w:color w:val="000000"/>
          <w:sz w:val="20"/>
          <w:szCs w:val="20"/>
        </w:rPr>
        <w:t> </w:t>
      </w:r>
      <w:proofErr w:type="gramStart"/>
      <w:r>
        <w:rPr>
          <w:rFonts w:ascii="Arial" w:hAnsi="Arial" w:cs="Arial"/>
          <w:color w:val="000000"/>
          <w:sz w:val="20"/>
          <w:szCs w:val="20"/>
        </w:rPr>
        <w:t>is being updated</w:t>
      </w:r>
      <w:proofErr w:type="gramEnd"/>
      <w:r>
        <w:rPr>
          <w:rFonts w:ascii="Arial" w:hAnsi="Arial" w:cs="Arial"/>
          <w:color w:val="000000"/>
          <w:sz w:val="20"/>
          <w:szCs w:val="20"/>
        </w:rPr>
        <w:t xml:space="preserve"> to reflect the changes.</w:t>
      </w:r>
    </w:p>
    <w:p w:rsidR="00E526FA" w:rsidRDefault="00E526FA" w:rsidP="00E526FA">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10(4), 11(1), and 11(2) of the Foreign Exchange Management Act (FEMA), 1999 (42 of 1999) and are without prejudice to permissions / approvals, if any, required under any other law.</w:t>
      </w:r>
    </w:p>
    <w:p w:rsidR="00E526FA" w:rsidRDefault="00E526FA" w:rsidP="00E526FA">
      <w:pPr>
        <w:pStyle w:val="NormalWeb"/>
        <w:jc w:val="right"/>
        <w:rPr>
          <w:rFonts w:ascii="Arial" w:hAnsi="Arial" w:cs="Arial"/>
          <w:color w:val="000000"/>
          <w:sz w:val="20"/>
          <w:szCs w:val="20"/>
        </w:rPr>
      </w:pPr>
      <w:r>
        <w:rPr>
          <w:rFonts w:ascii="Arial" w:hAnsi="Arial" w:cs="Arial"/>
          <w:color w:val="000000"/>
          <w:sz w:val="20"/>
          <w:szCs w:val="20"/>
        </w:rPr>
        <w:t>Yours faithfully,</w:t>
      </w:r>
    </w:p>
    <w:p w:rsidR="00E526FA" w:rsidRDefault="00E526FA" w:rsidP="00E526FA">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C737F3" w:rsidRDefault="00C737F3" w:rsidP="00C737F3">
      <w:pPr>
        <w:pStyle w:val="NormalWeb"/>
      </w:pPr>
      <w:r w:rsidRPr="00C737F3">
        <w:rPr>
          <w:rFonts w:ascii="Arial" w:hAnsi="Arial" w:cs="Arial"/>
          <w:color w:val="000000"/>
          <w:sz w:val="20"/>
          <w:szCs w:val="20"/>
        </w:rPr>
        <w:t>For more details, kindly refer:</w:t>
      </w:r>
      <w:r w:rsidRPr="00C737F3">
        <w:t xml:space="preserve"> </w:t>
      </w:r>
    </w:p>
    <w:p w:rsidR="00C737F3" w:rsidRDefault="00C737F3" w:rsidP="00C737F3">
      <w:pPr>
        <w:pStyle w:val="NormalWeb"/>
        <w:rPr>
          <w:rFonts w:ascii="Arial" w:hAnsi="Arial" w:cs="Arial"/>
          <w:color w:val="000000"/>
          <w:sz w:val="20"/>
          <w:szCs w:val="20"/>
        </w:rPr>
      </w:pPr>
      <w:hyperlink r:id="rId8" w:history="1">
        <w:r w:rsidRPr="00724713">
          <w:rPr>
            <w:rStyle w:val="Hyperlink"/>
            <w:rFonts w:ascii="Arial" w:hAnsi="Arial" w:cs="Arial"/>
            <w:sz w:val="20"/>
            <w:szCs w:val="20"/>
          </w:rPr>
          <w:t>https://www.rbi.org.in/Scripts/NotificationUser.aspx?Id=12618&amp;Mode=0</w:t>
        </w:r>
      </w:hyperlink>
      <w:r>
        <w:rPr>
          <w:rFonts w:ascii="Arial" w:hAnsi="Arial" w:cs="Arial"/>
          <w:color w:val="000000"/>
          <w:sz w:val="20"/>
          <w:szCs w:val="20"/>
        </w:rPr>
        <w:t xml:space="preserve"> </w:t>
      </w: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E526FA">
      <w:pPr>
        <w:pStyle w:val="NormalWeb"/>
        <w:jc w:val="right"/>
        <w:rPr>
          <w:rFonts w:ascii="Arial" w:hAnsi="Arial" w:cs="Arial"/>
          <w:color w:val="000000"/>
          <w:sz w:val="20"/>
          <w:szCs w:val="20"/>
        </w:rPr>
      </w:pPr>
    </w:p>
    <w:p w:rsidR="00924FCA" w:rsidRDefault="00924FCA" w:rsidP="00CD4FD4">
      <w:pPr>
        <w:pStyle w:val="NormalWeb"/>
        <w:jc w:val="center"/>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RBI/2023-24/140</w:t>
      </w:r>
      <w:r w:rsidRPr="00924FCA">
        <w:rPr>
          <w:rFonts w:ascii="Arial" w:eastAsia="Times New Roman" w:hAnsi="Arial" w:cs="Arial"/>
          <w:color w:val="000000"/>
          <w:sz w:val="20"/>
          <w:szCs w:val="20"/>
          <w:lang w:eastAsia="en-IN"/>
        </w:rPr>
        <w:br/>
        <w:t>DOR.STR.REC.85/21.04.048/2023-24</w:t>
      </w:r>
    </w:p>
    <w:p w:rsidR="00924FCA" w:rsidRPr="00924FCA" w:rsidRDefault="00924FCA" w:rsidP="00924FCA">
      <w:pPr>
        <w:spacing w:before="100" w:beforeAutospacing="1" w:after="100" w:afterAutospacing="1" w:line="240" w:lineRule="auto"/>
        <w:jc w:val="right"/>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March 27, 2024</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All Commercial Banks (including Small Finance Banks, Local Area Banks and Regional Rural Banks</w:t>
      </w:r>
      <w:proofErr w:type="gramStart"/>
      <w:r w:rsidRPr="00924FCA">
        <w:rPr>
          <w:rFonts w:ascii="Arial" w:eastAsia="Times New Roman" w:hAnsi="Arial" w:cs="Arial"/>
          <w:color w:val="000000"/>
          <w:sz w:val="20"/>
          <w:szCs w:val="20"/>
          <w:lang w:eastAsia="en-IN"/>
        </w:rPr>
        <w:t>)</w:t>
      </w:r>
      <w:proofErr w:type="gramEnd"/>
      <w:r w:rsidRPr="00924FCA">
        <w:rPr>
          <w:rFonts w:ascii="Arial" w:eastAsia="Times New Roman" w:hAnsi="Arial" w:cs="Arial"/>
          <w:color w:val="000000"/>
          <w:sz w:val="20"/>
          <w:szCs w:val="20"/>
          <w:lang w:eastAsia="en-IN"/>
        </w:rPr>
        <w:br/>
        <w:t>All Primary (Urban) Co-operative Banks/State Co-operative Banks/ Central Co-operative Banks</w:t>
      </w:r>
      <w:r w:rsidRPr="00924FCA">
        <w:rPr>
          <w:rFonts w:ascii="Arial" w:eastAsia="Times New Roman" w:hAnsi="Arial" w:cs="Arial"/>
          <w:color w:val="000000"/>
          <w:sz w:val="20"/>
          <w:szCs w:val="20"/>
          <w:lang w:eastAsia="en-IN"/>
        </w:rPr>
        <w:br/>
        <w:t>All All-India Financial Institutions</w:t>
      </w:r>
      <w:r w:rsidRPr="00924FCA">
        <w:rPr>
          <w:rFonts w:ascii="Arial" w:eastAsia="Times New Roman" w:hAnsi="Arial" w:cs="Arial"/>
          <w:color w:val="000000"/>
          <w:sz w:val="20"/>
          <w:szCs w:val="20"/>
          <w:lang w:eastAsia="en-IN"/>
        </w:rPr>
        <w:br/>
        <w:t>All Non-Banking Financial Companies (including Housing Finance Companies)</w:t>
      </w:r>
    </w:p>
    <w:p w:rsidR="00924FCA" w:rsidRPr="00924FCA" w:rsidRDefault="00924FCA" w:rsidP="00924FCA">
      <w:pPr>
        <w:spacing w:before="100" w:beforeAutospacing="1" w:after="100" w:afterAutospacing="1" w:line="240" w:lineRule="auto"/>
        <w:jc w:val="both"/>
        <w:rPr>
          <w:rFonts w:ascii="Arial" w:eastAsia="Times New Roman" w:hAnsi="Arial" w:cs="Arial"/>
          <w:b/>
          <w:bCs/>
          <w:color w:val="000000"/>
          <w:sz w:val="20"/>
          <w:szCs w:val="20"/>
          <w:lang w:eastAsia="en-IN"/>
        </w:rPr>
      </w:pPr>
      <w:r w:rsidRPr="00924FCA">
        <w:rPr>
          <w:rFonts w:ascii="Arial" w:eastAsia="Times New Roman" w:hAnsi="Arial" w:cs="Arial"/>
          <w:b/>
          <w:bCs/>
          <w:color w:val="000000"/>
          <w:sz w:val="20"/>
          <w:szCs w:val="20"/>
          <w:lang w:eastAsia="en-IN"/>
        </w:rPr>
        <w:t>Investments in Alternative Investment Funds (AIFs)</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Please refer to the </w:t>
      </w:r>
      <w:hyperlink r:id="rId9" w:tgtFrame="_blank" w:history="1">
        <w:r w:rsidRPr="00924FCA">
          <w:rPr>
            <w:rFonts w:ascii="Arial" w:eastAsia="Times New Roman" w:hAnsi="Arial" w:cs="Arial"/>
            <w:color w:val="0000FF"/>
            <w:sz w:val="20"/>
            <w:szCs w:val="20"/>
            <w:u w:val="single"/>
            <w:lang w:eastAsia="en-IN"/>
          </w:rPr>
          <w:t>circular DOR.STR.REC.58/21.04.048/2023-24 dated December 19, 2023</w:t>
        </w:r>
      </w:hyperlink>
      <w:r w:rsidRPr="00924FCA">
        <w:rPr>
          <w:rFonts w:ascii="Arial" w:eastAsia="Times New Roman" w:hAnsi="Arial" w:cs="Arial"/>
          <w:color w:val="000000"/>
          <w:sz w:val="20"/>
          <w:szCs w:val="20"/>
          <w:lang w:eastAsia="en-IN"/>
        </w:rPr>
        <w:t xml:space="preserve"> (‘Circular’) on the captioned subject, in terms of which instructions </w:t>
      </w:r>
      <w:proofErr w:type="gramStart"/>
      <w:r w:rsidRPr="00924FCA">
        <w:rPr>
          <w:rFonts w:ascii="Arial" w:eastAsia="Times New Roman" w:hAnsi="Arial" w:cs="Arial"/>
          <w:color w:val="000000"/>
          <w:sz w:val="20"/>
          <w:szCs w:val="20"/>
          <w:lang w:eastAsia="en-IN"/>
        </w:rPr>
        <w:t>were issued</w:t>
      </w:r>
      <w:proofErr w:type="gramEnd"/>
      <w:r w:rsidRPr="00924FCA">
        <w:rPr>
          <w:rFonts w:ascii="Arial" w:eastAsia="Times New Roman" w:hAnsi="Arial" w:cs="Arial"/>
          <w:color w:val="000000"/>
          <w:sz w:val="20"/>
          <w:szCs w:val="20"/>
          <w:lang w:eastAsia="en-IN"/>
        </w:rPr>
        <w:t xml:space="preserve"> to address certain regulatory concerns relating to investment by regulated entities (REs) in the AIFs.</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 xml:space="preserve">2. With a view to ensuring uniformity in implementation among the REs, and to address the concerns flagged in various representations received from stakeholders, it </w:t>
      </w:r>
      <w:proofErr w:type="gramStart"/>
      <w:r w:rsidRPr="00924FCA">
        <w:rPr>
          <w:rFonts w:ascii="Arial" w:eastAsia="Times New Roman" w:hAnsi="Arial" w:cs="Arial"/>
          <w:color w:val="000000"/>
          <w:sz w:val="20"/>
          <w:szCs w:val="20"/>
          <w:lang w:eastAsia="en-IN"/>
        </w:rPr>
        <w:t>is advised</w:t>
      </w:r>
      <w:proofErr w:type="gramEnd"/>
      <w:r w:rsidRPr="00924FCA">
        <w:rPr>
          <w:rFonts w:ascii="Arial" w:eastAsia="Times New Roman" w:hAnsi="Arial" w:cs="Arial"/>
          <w:color w:val="000000"/>
          <w:sz w:val="20"/>
          <w:szCs w:val="20"/>
          <w:lang w:eastAsia="en-IN"/>
        </w:rPr>
        <w:t xml:space="preserve"> as under:</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w:t>
      </w:r>
      <w:proofErr w:type="spellStart"/>
      <w:r w:rsidRPr="00924FCA">
        <w:rPr>
          <w:rFonts w:ascii="Arial" w:eastAsia="Times New Roman" w:hAnsi="Arial" w:cs="Arial"/>
          <w:color w:val="000000"/>
          <w:sz w:val="20"/>
          <w:szCs w:val="20"/>
          <w:lang w:eastAsia="en-IN"/>
        </w:rPr>
        <w:t>i</w:t>
      </w:r>
      <w:proofErr w:type="spellEnd"/>
      <w:r w:rsidRPr="00924FCA">
        <w:rPr>
          <w:rFonts w:ascii="Arial" w:eastAsia="Times New Roman" w:hAnsi="Arial" w:cs="Arial"/>
          <w:color w:val="000000"/>
          <w:sz w:val="20"/>
          <w:szCs w:val="20"/>
          <w:lang w:eastAsia="en-IN"/>
        </w:rPr>
        <w:t>) Downstream investments referred to in paragraph 2 (</w:t>
      </w:r>
      <w:proofErr w:type="spellStart"/>
      <w:r w:rsidRPr="00924FCA">
        <w:rPr>
          <w:rFonts w:ascii="Arial" w:eastAsia="Times New Roman" w:hAnsi="Arial" w:cs="Arial"/>
          <w:color w:val="000000"/>
          <w:sz w:val="20"/>
          <w:szCs w:val="20"/>
          <w:lang w:eastAsia="en-IN"/>
        </w:rPr>
        <w:t>i</w:t>
      </w:r>
      <w:proofErr w:type="spellEnd"/>
      <w:r w:rsidRPr="00924FCA">
        <w:rPr>
          <w:rFonts w:ascii="Arial" w:eastAsia="Times New Roman" w:hAnsi="Arial" w:cs="Arial"/>
          <w:color w:val="000000"/>
          <w:sz w:val="20"/>
          <w:szCs w:val="20"/>
          <w:lang w:eastAsia="en-IN"/>
        </w:rPr>
        <w:t>) of the Circular shall exclude investments in equity shares of the debtor company of the RE, but shall include all other investments, including investment in hybrid instruments.</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924FCA">
        <w:rPr>
          <w:rFonts w:ascii="Arial" w:eastAsia="Times New Roman" w:hAnsi="Arial" w:cs="Arial"/>
          <w:color w:val="000000"/>
          <w:sz w:val="20"/>
          <w:szCs w:val="20"/>
          <w:lang w:eastAsia="en-IN"/>
        </w:rPr>
        <w:t>(iv) Further</w:t>
      </w:r>
      <w:proofErr w:type="gramEnd"/>
      <w:r w:rsidRPr="00924FCA">
        <w:rPr>
          <w:rFonts w:ascii="Arial" w:eastAsia="Times New Roman" w:hAnsi="Arial" w:cs="Arial"/>
          <w:color w:val="000000"/>
          <w:sz w:val="20"/>
          <w:szCs w:val="20"/>
          <w:lang w:eastAsia="en-IN"/>
        </w:rPr>
        <w:t xml:space="preserve"> with regard to paragraph 3 of the Circular:</w:t>
      </w:r>
    </w:p>
    <w:p w:rsidR="00924FCA" w:rsidRPr="00924FCA" w:rsidRDefault="00924FCA" w:rsidP="00924FC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924FCA">
        <w:rPr>
          <w:rFonts w:ascii="Arial" w:eastAsia="Times New Roman" w:hAnsi="Arial" w:cs="Arial"/>
          <w:color w:val="000000"/>
          <w:sz w:val="20"/>
          <w:szCs w:val="20"/>
          <w:lang w:eastAsia="en-IN"/>
        </w:rPr>
        <w:t>proposed</w:t>
      </w:r>
      <w:proofErr w:type="gramEnd"/>
      <w:r w:rsidRPr="00924FCA">
        <w:rPr>
          <w:rFonts w:ascii="Arial" w:eastAsia="Times New Roman" w:hAnsi="Arial" w:cs="Arial"/>
          <w:color w:val="000000"/>
          <w:sz w:val="20"/>
          <w:szCs w:val="20"/>
          <w:lang w:eastAsia="en-IN"/>
        </w:rPr>
        <w:t xml:space="preserve"> deduction from capital shall take place equally from both Tier-1 and Tier-2 capital.</w:t>
      </w:r>
    </w:p>
    <w:p w:rsidR="00924FCA" w:rsidRPr="00924FCA" w:rsidRDefault="00924FCA" w:rsidP="00924FC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924FCA">
        <w:rPr>
          <w:rFonts w:ascii="Arial" w:eastAsia="Times New Roman" w:hAnsi="Arial" w:cs="Arial"/>
          <w:color w:val="000000"/>
          <w:sz w:val="20"/>
          <w:szCs w:val="20"/>
          <w:lang w:eastAsia="en-IN"/>
        </w:rPr>
        <w:t>reference</w:t>
      </w:r>
      <w:proofErr w:type="gramEnd"/>
      <w:r w:rsidRPr="00924FCA">
        <w:rPr>
          <w:rFonts w:ascii="Arial" w:eastAsia="Times New Roman" w:hAnsi="Arial" w:cs="Arial"/>
          <w:color w:val="000000"/>
          <w:sz w:val="20"/>
          <w:szCs w:val="20"/>
          <w:lang w:eastAsia="en-IN"/>
        </w:rPr>
        <w:t xml:space="preserve"> to investment in subordinated units of AIF Scheme includes all forms of subordinated exposures, including investment in the nature of sponsor units.</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 xml:space="preserve">(v) Investments </w:t>
      </w:r>
      <w:proofErr w:type="gramStart"/>
      <w:r w:rsidRPr="00924FCA">
        <w:rPr>
          <w:rFonts w:ascii="Arial" w:eastAsia="Times New Roman" w:hAnsi="Arial" w:cs="Arial"/>
          <w:color w:val="000000"/>
          <w:sz w:val="20"/>
          <w:szCs w:val="20"/>
          <w:lang w:eastAsia="en-IN"/>
        </w:rPr>
        <w:t>by REs in AIFs through intermediaries such as fund of funds or mutual funds</w:t>
      </w:r>
      <w:proofErr w:type="gramEnd"/>
      <w:r w:rsidRPr="00924FCA">
        <w:rPr>
          <w:rFonts w:ascii="Arial" w:eastAsia="Times New Roman" w:hAnsi="Arial" w:cs="Arial"/>
          <w:color w:val="000000"/>
          <w:sz w:val="20"/>
          <w:szCs w:val="20"/>
          <w:lang w:eastAsia="en-IN"/>
        </w:rPr>
        <w:t xml:space="preserve"> are not included in the scope of the Circular.</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 xml:space="preserve">3. The above instructions </w:t>
      </w:r>
      <w:proofErr w:type="gramStart"/>
      <w:r w:rsidRPr="00924FCA">
        <w:rPr>
          <w:rFonts w:ascii="Arial" w:eastAsia="Times New Roman" w:hAnsi="Arial" w:cs="Arial"/>
          <w:color w:val="000000"/>
          <w:sz w:val="20"/>
          <w:szCs w:val="20"/>
          <w:lang w:eastAsia="en-IN"/>
        </w:rPr>
        <w:t>have been issued</w:t>
      </w:r>
      <w:proofErr w:type="gramEnd"/>
      <w:r w:rsidRPr="00924FCA">
        <w:rPr>
          <w:rFonts w:ascii="Arial" w:eastAsia="Times New Roman" w:hAnsi="Arial" w:cs="Arial"/>
          <w:color w:val="000000"/>
          <w:sz w:val="20"/>
          <w:szCs w:val="20"/>
          <w:lang w:eastAsia="en-IN"/>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Yours faithfully,</w:t>
      </w:r>
    </w:p>
    <w:p w:rsidR="00924FCA" w:rsidRPr="00924FCA" w:rsidRDefault="00924FCA" w:rsidP="00924FCA">
      <w:pPr>
        <w:spacing w:before="100" w:beforeAutospacing="1" w:after="100" w:afterAutospacing="1" w:line="240" w:lineRule="auto"/>
        <w:jc w:val="both"/>
        <w:rPr>
          <w:rFonts w:ascii="Arial" w:eastAsia="Times New Roman" w:hAnsi="Arial" w:cs="Arial"/>
          <w:color w:val="000000"/>
          <w:sz w:val="20"/>
          <w:szCs w:val="20"/>
          <w:lang w:eastAsia="en-IN"/>
        </w:rPr>
      </w:pPr>
      <w:r w:rsidRPr="00924FCA">
        <w:rPr>
          <w:rFonts w:ascii="Arial" w:eastAsia="Times New Roman" w:hAnsi="Arial" w:cs="Arial"/>
          <w:color w:val="000000"/>
          <w:sz w:val="20"/>
          <w:szCs w:val="20"/>
          <w:lang w:eastAsia="en-IN"/>
        </w:rPr>
        <w:t>(</w:t>
      </w:r>
      <w:proofErr w:type="spellStart"/>
      <w:r w:rsidRPr="00924FCA">
        <w:rPr>
          <w:rFonts w:ascii="Arial" w:eastAsia="Times New Roman" w:hAnsi="Arial" w:cs="Arial"/>
          <w:color w:val="000000"/>
          <w:sz w:val="20"/>
          <w:szCs w:val="20"/>
          <w:lang w:eastAsia="en-IN"/>
        </w:rPr>
        <w:t>Vaibhav</w:t>
      </w:r>
      <w:proofErr w:type="spellEnd"/>
      <w:r w:rsidRPr="00924FCA">
        <w:rPr>
          <w:rFonts w:ascii="Arial" w:eastAsia="Times New Roman" w:hAnsi="Arial" w:cs="Arial"/>
          <w:color w:val="000000"/>
          <w:sz w:val="20"/>
          <w:szCs w:val="20"/>
          <w:lang w:eastAsia="en-IN"/>
        </w:rPr>
        <w:t xml:space="preserve"> </w:t>
      </w:r>
      <w:proofErr w:type="spellStart"/>
      <w:r w:rsidRPr="00924FCA">
        <w:rPr>
          <w:rFonts w:ascii="Arial" w:eastAsia="Times New Roman" w:hAnsi="Arial" w:cs="Arial"/>
          <w:color w:val="000000"/>
          <w:sz w:val="20"/>
          <w:szCs w:val="20"/>
          <w:lang w:eastAsia="en-IN"/>
        </w:rPr>
        <w:t>Chaturvedi</w:t>
      </w:r>
      <w:proofErr w:type="spellEnd"/>
      <w:r w:rsidRPr="00924FCA">
        <w:rPr>
          <w:rFonts w:ascii="Arial" w:eastAsia="Times New Roman" w:hAnsi="Arial" w:cs="Arial"/>
          <w:color w:val="000000"/>
          <w:sz w:val="20"/>
          <w:szCs w:val="20"/>
          <w:lang w:eastAsia="en-IN"/>
        </w:rPr>
        <w:t>)</w:t>
      </w:r>
      <w:r w:rsidRPr="00924FCA">
        <w:rPr>
          <w:rFonts w:ascii="Arial" w:eastAsia="Times New Roman" w:hAnsi="Arial" w:cs="Arial"/>
          <w:color w:val="000000"/>
          <w:sz w:val="20"/>
          <w:szCs w:val="20"/>
          <w:lang w:eastAsia="en-IN"/>
        </w:rPr>
        <w:br/>
        <w:t>Chief General Manager</w:t>
      </w:r>
    </w:p>
    <w:p w:rsidR="00E526FA" w:rsidRPr="00E526FA" w:rsidRDefault="00C737F3">
      <w:pPr>
        <w:rPr>
          <w:rFonts w:ascii="Times New Roman" w:hAnsi="Times New Roman" w:cs="Times New Roman"/>
          <w:sz w:val="24"/>
          <w:szCs w:val="24"/>
        </w:rPr>
      </w:pPr>
      <w:r w:rsidRPr="00C737F3">
        <w:rPr>
          <w:rFonts w:ascii="Times New Roman" w:hAnsi="Times New Roman" w:cs="Times New Roman"/>
          <w:sz w:val="24"/>
          <w:szCs w:val="24"/>
        </w:rPr>
        <w:t xml:space="preserve">For more details, kindly </w:t>
      </w:r>
      <w:proofErr w:type="gramStart"/>
      <w:r w:rsidRPr="00C737F3">
        <w:rPr>
          <w:rFonts w:ascii="Times New Roman" w:hAnsi="Times New Roman" w:cs="Times New Roman"/>
          <w:sz w:val="24"/>
          <w:szCs w:val="24"/>
        </w:rPr>
        <w:t>refer:</w:t>
      </w:r>
      <w:proofErr w:type="gramEnd"/>
      <w:r>
        <w:rPr>
          <w:rFonts w:ascii="Times New Roman" w:hAnsi="Times New Roman" w:cs="Times New Roman"/>
          <w:sz w:val="24"/>
          <w:szCs w:val="24"/>
        </w:rPr>
        <w:t xml:space="preserve"> </w:t>
      </w:r>
      <w:hyperlink r:id="rId10" w:history="1">
        <w:r w:rsidRPr="00724713">
          <w:rPr>
            <w:rStyle w:val="Hyperlink"/>
            <w:rFonts w:ascii="Times New Roman" w:hAnsi="Times New Roman" w:cs="Times New Roman"/>
            <w:sz w:val="24"/>
            <w:szCs w:val="24"/>
          </w:rPr>
          <w:t>https://www.rbi.org.in/Scripts/NotificationUser.aspx?Id=12639&amp;Mode=0</w:t>
        </w:r>
      </w:hyperlink>
      <w:r>
        <w:rPr>
          <w:rFonts w:ascii="Times New Roman" w:hAnsi="Times New Roman" w:cs="Times New Roman"/>
          <w:sz w:val="24"/>
          <w:szCs w:val="24"/>
        </w:rPr>
        <w:t xml:space="preserve"> </w:t>
      </w:r>
    </w:p>
    <w:sectPr w:rsidR="00E526FA" w:rsidRPr="00E5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141C"/>
    <w:multiLevelType w:val="multilevel"/>
    <w:tmpl w:val="77E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0D"/>
    <w:rsid w:val="000A7168"/>
    <w:rsid w:val="0057030D"/>
    <w:rsid w:val="008176BF"/>
    <w:rsid w:val="00825000"/>
    <w:rsid w:val="00924FCA"/>
    <w:rsid w:val="00C737F3"/>
    <w:rsid w:val="00CD4FD4"/>
    <w:rsid w:val="00E52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927F"/>
  <w15:chartTrackingRefBased/>
  <w15:docId w15:val="{B3039FED-EC1B-40FD-81CF-8BB7F2A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lr">
    <w:name w:val="blue-clr"/>
    <w:basedOn w:val="DefaultParagraphFont"/>
    <w:rsid w:val="00E526FA"/>
  </w:style>
  <w:style w:type="table" w:styleId="TableGrid">
    <w:name w:val="Table Grid"/>
    <w:basedOn w:val="TableNormal"/>
    <w:uiPriority w:val="39"/>
    <w:rsid w:val="00E52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26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E526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52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1218">
      <w:bodyDiv w:val="1"/>
      <w:marLeft w:val="0"/>
      <w:marRight w:val="0"/>
      <w:marTop w:val="0"/>
      <w:marBottom w:val="0"/>
      <w:divBdr>
        <w:top w:val="none" w:sz="0" w:space="0" w:color="auto"/>
        <w:left w:val="none" w:sz="0" w:space="0" w:color="auto"/>
        <w:bottom w:val="none" w:sz="0" w:space="0" w:color="auto"/>
        <w:right w:val="none" w:sz="0" w:space="0" w:color="auto"/>
      </w:divBdr>
    </w:div>
    <w:div w:id="820392587">
      <w:bodyDiv w:val="1"/>
      <w:marLeft w:val="0"/>
      <w:marRight w:val="0"/>
      <w:marTop w:val="0"/>
      <w:marBottom w:val="0"/>
      <w:divBdr>
        <w:top w:val="none" w:sz="0" w:space="0" w:color="auto"/>
        <w:left w:val="none" w:sz="0" w:space="0" w:color="auto"/>
        <w:bottom w:val="none" w:sz="0" w:space="0" w:color="auto"/>
        <w:right w:val="none" w:sz="0" w:space="0" w:color="auto"/>
      </w:divBdr>
    </w:div>
    <w:div w:id="1243946878">
      <w:bodyDiv w:val="1"/>
      <w:marLeft w:val="0"/>
      <w:marRight w:val="0"/>
      <w:marTop w:val="0"/>
      <w:marBottom w:val="0"/>
      <w:divBdr>
        <w:top w:val="none" w:sz="0" w:space="0" w:color="auto"/>
        <w:left w:val="none" w:sz="0" w:space="0" w:color="auto"/>
        <w:bottom w:val="none" w:sz="0" w:space="0" w:color="auto"/>
        <w:right w:val="none" w:sz="0" w:space="0" w:color="auto"/>
      </w:divBdr>
    </w:div>
    <w:div w:id="1674720661">
      <w:bodyDiv w:val="1"/>
      <w:marLeft w:val="0"/>
      <w:marRight w:val="0"/>
      <w:marTop w:val="0"/>
      <w:marBottom w:val="0"/>
      <w:divBdr>
        <w:top w:val="none" w:sz="0" w:space="0" w:color="auto"/>
        <w:left w:val="none" w:sz="0" w:space="0" w:color="auto"/>
        <w:bottom w:val="none" w:sz="0" w:space="0" w:color="auto"/>
        <w:right w:val="none" w:sz="0" w:space="0" w:color="auto"/>
      </w:divBdr>
    </w:div>
    <w:div w:id="20853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618&amp;Mode=0" TargetMode="External"/><Relationship Id="rId3" Type="http://schemas.openxmlformats.org/officeDocument/2006/relationships/settings" Target="settings.xml"/><Relationship Id="rId7" Type="http://schemas.openxmlformats.org/officeDocument/2006/relationships/hyperlink" Target="https://www.rbi.org.in/Scripts/BS_ViewMasDirections.aspx?id=10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kalan.rbi.org.in/" TargetMode="External"/><Relationship Id="rId11" Type="http://schemas.openxmlformats.org/officeDocument/2006/relationships/fontTable" Target="fontTable.xml"/><Relationship Id="rId5" Type="http://schemas.openxmlformats.org/officeDocument/2006/relationships/hyperlink" Target="https://www.rbi.org.in/Scripts/NotificationUser.aspx?Id=10405&amp;Mode=0" TargetMode="External"/><Relationship Id="rId10" Type="http://schemas.openxmlformats.org/officeDocument/2006/relationships/hyperlink" Target="https://www.rbi.org.in/Scripts/NotificationUser.aspx?Id=12639&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7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15</cp:revision>
  <dcterms:created xsi:type="dcterms:W3CDTF">2024-08-19T09:29:00Z</dcterms:created>
  <dcterms:modified xsi:type="dcterms:W3CDTF">2024-08-19T09:35:00Z</dcterms:modified>
</cp:coreProperties>
</file>